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210509" w14:paraId="4F9450A3" w14:textId="315913B0">
            <w:r w:rsidRPr="00210509">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B972E6"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Pr="00FC1EDC" w:rsidR="00FC1EDC" w:rsidP="00FC1EDC" w:rsidRDefault="00FC1EDC" w14:paraId="0398C663" w14:textId="77777777">
            <w:pPr>
              <w:rPr>
                <w:lang w:val="en-US"/>
              </w:rPr>
            </w:pPr>
            <w:r w:rsidRPr="00FC1EDC">
              <w:rPr>
                <w:lang w:val="en-US"/>
              </w:rPr>
              <w:t xml:space="preserve">Law 2294 of 2023 "By which the National Development Plan 2022-2026 "Colombia World Power of Life" is issued. </w:t>
            </w:r>
          </w:p>
          <w:p w:rsidRPr="00FC1EDC" w:rsidR="00FC1EDC" w:rsidP="00FC1EDC" w:rsidRDefault="00FC1EDC" w14:paraId="16FF82D5" w14:textId="77777777">
            <w:pPr>
              <w:rPr>
                <w:lang w:val="en-US"/>
              </w:rPr>
            </w:pPr>
          </w:p>
          <w:p w:rsidRPr="00B972E6" w:rsidR="00093CA9" w:rsidP="00234788" w:rsidRDefault="00FC1EDC" w14:paraId="313A697B" w14:textId="4BB5A0FA">
            <w:pPr>
              <w:rPr>
                <w:lang w:val="es-CO"/>
              </w:rPr>
            </w:pPr>
            <w:r w:rsidRPr="00B972E6">
              <w:rPr>
                <w:lang w:val="es-CO"/>
              </w:rPr>
              <w:t>Ley 2294 de 2023 “Por el cual se expide el Plan Nacional de Desarrollo 2022- 2026 “Colombia Potencia Mundial de la Vida”.</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B972E6" w14:paraId="1523C232" w14:textId="382CE583">
            <w:hyperlink w:history="1" r:id="rId17">
              <w:r>
                <w:rPr>
                  <w:rStyle w:val="Hipervnculo"/>
                </w:rPr>
                <w:t>web-archived</w:t>
              </w:r>
            </w:hyperlink>
            <w: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093CA9" w14:paraId="4E49657F" w14:textId="4EFC9FAE"/>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CE2140" w14:paraId="14F96ECD" w14:textId="3BE8A82D">
            <w:r>
              <w:t>X</w:t>
            </w:r>
          </w:p>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FC1EDC" w14:paraId="49932434" w14:textId="0288A3B2">
            <w:r>
              <w:t>X</w:t>
            </w:r>
          </w:p>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76356EFA"/>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2D58B31E"/>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4BCBCEF4"/>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126D32" w14:paraId="18257824" w14:textId="04338791">
            <w:r w:rsidRPr="00126D32">
              <w:t>Law 2294 of 2023 establishes Colombia’s National Development Plan 2022-2026, setting out policies for social justice, environmental protection, productive transformation, and climate action. It includes specific provisions for transition planning (energy, climate, and economic transition) and public procurement aligned with national objectives.</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126D32" w14:paraId="54354EEF" w14:textId="23A6B7BB">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6302B6" w14:paraId="22A2FF1A" w14:textId="33CACE6E">
            <w:pPr>
              <w:rPr>
                <w:color w:val="000000" w:themeColor="text1"/>
              </w:rPr>
            </w:pPr>
            <w:r>
              <w:rPr>
                <w:color w:val="000000" w:themeColor="text1"/>
              </w:rPr>
              <w:t>2023</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6302B6" w14:paraId="5AD2325B" w14:textId="22BB85D5">
            <w:pPr>
              <w:rPr>
                <w:color w:val="000000" w:themeColor="text1"/>
              </w:rPr>
            </w:pPr>
            <w:r>
              <w:rPr>
                <w:color w:val="000000" w:themeColor="text1"/>
              </w:rPr>
              <w:t>2023</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093CA9" w14:paraId="1A1B9D26" w14:textId="77777777">
            <w:pPr>
              <w:rPr>
                <w:color w:val="000000" w:themeColor="text1"/>
              </w:rPr>
            </w:pP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6302B6" w14:paraId="212B1951" w14:textId="1188E5C2">
            <w:pPr>
              <w:rPr>
                <w:color w:val="000000" w:themeColor="text1"/>
              </w:rPr>
            </w:pPr>
            <w:r>
              <w:rPr>
                <w:color w:val="000000" w:themeColor="text1"/>
              </w:rPr>
              <w:t>2026</w:t>
            </w: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6302B6" w14:paraId="7961F236" w14:textId="09657F34">
            <w:r w:rsidRPr="006302B6">
              <w:t>Legislature (Congress of Colombia), Executive (Government of Colombia)</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401AE4" w14:paraId="58D97C26" w14:textId="4297FA4B">
            <w:r w:rsidRPr="00401AE4">
              <w:t>Ministry of Environment</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401AE4" w14:paraId="6DCCE4F4" w14:textId="5B69E9AF">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lastRenderedPageBreak/>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093CA9" w14:paraId="54F7EBC8" w14:textId="77777777"/>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0E5ED54"/>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6FCE983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63B1601F"/>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26C17AAD"/>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678C0A86"/>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027CA20E"/>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0261B1BB"/>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78EC00B7"/>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0E45CA6"/>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3C2F4FE"/>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093D7FF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176278A7"/>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15BB96BF"/>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6376A"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11BB7E38"/>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E86A9E" w14:paraId="63E64AA4" w14:textId="57A264A5">
            <w:r>
              <w:t>X</w:t>
            </w:r>
          </w:p>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4035490D"/>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E86A9E" w14:paraId="3F0CAF5D" w14:textId="5CFCF28A">
            <w:pPr>
              <w:spacing w:line="276" w:lineRule="auto"/>
              <w:rPr>
                <w:color w:val="000000" w:themeColor="text1"/>
              </w:rPr>
            </w:pPr>
            <w:r>
              <w:rPr>
                <w:color w:val="000000" w:themeColor="text1"/>
              </w:rPr>
              <w:t>X</w:t>
            </w: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E86A9E" w14:paraId="6D63DD00" w14:textId="6EF1757E">
            <w:pPr>
              <w:spacing w:line="276" w:lineRule="auto"/>
              <w:rPr>
                <w:color w:val="000000" w:themeColor="text1"/>
              </w:rPr>
            </w:pPr>
            <w:r>
              <w:rPr>
                <w:color w:val="000000" w:themeColor="text1"/>
              </w:rPr>
              <w:t>X</w:t>
            </w: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E86A9E" w14:paraId="798A6AD1" w14:textId="37BB5D4F">
            <w:pPr>
              <w:rPr>
                <w:rFonts w:ascii="Calibri" w:hAnsi="Calibri" w:cs="Calibri"/>
              </w:rPr>
            </w:pPr>
            <w:r>
              <w:rPr>
                <w:rFonts w:ascii="Calibri" w:hAnsi="Calibri" w:cs="Calibri"/>
              </w:rPr>
              <w:t>X</w:t>
            </w: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E86A9E" w14:paraId="1421BEFB" w14:textId="29F773D8">
            <w:pPr>
              <w:rPr>
                <w:rFonts w:ascii="Calibri" w:hAnsi="Calibri" w:cs="Calibri"/>
              </w:rPr>
            </w:pPr>
            <w:r>
              <w:rPr>
                <w:rFonts w:ascii="Calibri" w:hAnsi="Calibri" w:cs="Calibri"/>
              </w:rPr>
              <w:t>X</w:t>
            </w: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E86A9E" w14:paraId="57A593E9" w14:textId="1523FEA3">
            <w:pPr>
              <w:rPr>
                <w:rFonts w:ascii="Calibri" w:hAnsi="Calibri" w:cs="Calibri"/>
              </w:rPr>
            </w:pPr>
            <w:r>
              <w:rPr>
                <w:rFonts w:ascii="Calibri" w:hAnsi="Calibri" w:cs="Calibri"/>
              </w:rPr>
              <w:t>X</w:t>
            </w: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E86A9E" w14:paraId="67015493" w14:textId="20EC6C8A">
            <w:pPr>
              <w:rPr>
                <w:rFonts w:ascii="Calibri" w:hAnsi="Calibri" w:cs="Calibri"/>
              </w:rPr>
            </w:pPr>
            <w:r>
              <w:rPr>
                <w:rFonts w:ascii="Calibri" w:hAnsi="Calibri" w:cs="Calibri"/>
              </w:rPr>
              <w:t>X</w:t>
            </w: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E86A9E" w14:paraId="0FDFBF9A" w14:textId="290C9BE3">
            <w:pPr>
              <w:rPr>
                <w:rFonts w:ascii="Calibri" w:hAnsi="Calibri" w:cs="Calibri"/>
              </w:rPr>
            </w:pPr>
            <w:r>
              <w:rPr>
                <w:rFonts w:ascii="Calibri" w:hAnsi="Calibri" w:cs="Calibri"/>
              </w:rPr>
              <w:t>X</w:t>
            </w: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E86A9E" w14:paraId="05FA4816" w14:textId="63C51E51">
            <w:pPr>
              <w:rPr>
                <w:rFonts w:ascii="Calibri" w:hAnsi="Calibri" w:cs="Calibri"/>
              </w:rPr>
            </w:pPr>
            <w:r>
              <w:rPr>
                <w:rFonts w:ascii="Calibri" w:hAnsi="Calibri" w:cs="Calibri"/>
              </w:rPr>
              <w:t>X</w:t>
            </w: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E86A9E" w14:paraId="04DC3ED0" w14:textId="1C28F4E0">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E86A9E" w14:paraId="55653212" w14:textId="6A46FAFB">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E86A9E" w14:paraId="67E8031B" w14:textId="40176592">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E86A9E" w14:paraId="085035C8" w14:textId="5CA06B94">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E86A9E" w14:paraId="21C8C1A2" w14:textId="114BE8EE">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E86A9E" w14:paraId="109BE34F" w14:textId="2833B5F9">
            <w:pPr>
              <w:rPr>
                <w:rFonts w:ascii="Calibri" w:hAnsi="Calibri" w:cs="Calibri"/>
              </w:rPr>
            </w:pPr>
            <w:r>
              <w:rPr>
                <w:rFonts w:ascii="Calibri" w:hAnsi="Calibri" w:cs="Calibri"/>
              </w:rPr>
              <w:t>X</w:t>
            </w: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6376A"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E86A9E" w14:paraId="43691A25" w14:textId="62D8DE2F">
            <w:pPr>
              <w:rPr>
                <w:rFonts w:ascii="Calibri" w:hAnsi="Calibri" w:cs="Calibri"/>
              </w:rPr>
            </w:pPr>
            <w:r w:rsidRPr="00E86A9E">
              <w:t>Applies to all public entities and government agencies at national, regional, and local levels.</w:t>
            </w: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E86A9E" w14:paraId="5D4204ED" w14:textId="34D08AEA">
            <w:pPr>
              <w:rPr>
                <w:rFonts w:ascii="Calibri" w:hAnsi="Calibri" w:cs="Calibri"/>
              </w:rPr>
            </w:pPr>
            <w:r>
              <w:rPr>
                <w:rFonts w:ascii="Calibri" w:hAnsi="Calibri" w:cs="Calibri"/>
              </w:rPr>
              <w:t>X</w:t>
            </w: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E86A9E" w14:paraId="5C9C9E58" w14:textId="68B9DDBC">
            <w:pPr>
              <w:rPr>
                <w:rFonts w:ascii="Calibri" w:hAnsi="Calibri" w:cs="Calibri"/>
              </w:rPr>
            </w:pPr>
            <w:r>
              <w:rPr>
                <w:rFonts w:ascii="Calibri" w:hAnsi="Calibri" w:cs="Calibri"/>
              </w:rPr>
              <w:t xml:space="preserve">X </w:t>
            </w: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E86A9E" w14:paraId="7A9EC3B9" w14:textId="3D7C67A3">
            <w:pPr>
              <w:rPr>
                <w:rFonts w:ascii="Calibri" w:hAnsi="Calibri" w:cs="Calibri"/>
              </w:rPr>
            </w:pPr>
            <w:r>
              <w:rPr>
                <w:rFonts w:ascii="Calibri" w:hAnsi="Calibri" w:cs="Calibri"/>
              </w:rPr>
              <w:t>X</w:t>
            </w: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E86A9E" w14:paraId="650EC57F" w14:textId="68A0B918">
            <w:pPr>
              <w:rPr>
                <w:rFonts w:ascii="Calibri" w:hAnsi="Calibri" w:cs="Calibri"/>
              </w:rPr>
            </w:pPr>
            <w:r>
              <w:rPr>
                <w:rFonts w:ascii="Calibri" w:hAnsi="Calibri" w:cs="Calibri"/>
              </w:rPr>
              <w:t>X</w:t>
            </w: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A21F8F" w14:paraId="618ECA8A" w14:textId="289C55BF">
            <w:pPr>
              <w:rPr>
                <w:rFonts w:ascii="Calibri" w:hAnsi="Calibri" w:cs="Calibri"/>
              </w:rPr>
            </w:pPr>
            <w:r>
              <w:rPr>
                <w:rFonts w:ascii="Calibri" w:hAnsi="Calibri" w:cs="Calibri"/>
              </w:rPr>
              <w:t xml:space="preserve">X </w:t>
            </w: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5C37D3" w14:paraId="2A717B70" w14:textId="0443A5BB">
            <w:pPr>
              <w:rPr>
                <w:rFonts w:ascii="Calibri" w:hAnsi="Calibri" w:cs="Calibri"/>
              </w:rPr>
            </w:pPr>
            <w:r>
              <w:rPr>
                <w:rFonts w:ascii="Calibri" w:hAnsi="Calibri" w:cs="Calibri"/>
              </w:rPr>
              <w:t>X</w:t>
            </w: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6F64ACBC">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lastRenderedPageBreak/>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lastRenderedPageBreak/>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lastRenderedPageBreak/>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C1697A" w14:paraId="42115DBB" w14:textId="384FA815">
            <w:pPr>
              <w:rPr>
                <w:rFonts w:ascii="Calibri" w:hAnsi="Calibri" w:cs="Calibri"/>
              </w:rPr>
            </w:pPr>
            <w:r>
              <w:rPr>
                <w:rFonts w:ascii="Calibri" w:hAnsi="Calibri" w:cs="Calibri"/>
              </w:rPr>
              <w:t>X</w:t>
            </w: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BD344E" w14:paraId="44499F13" w14:textId="4E599DFA">
            <w:pPr>
              <w:rPr>
                <w:rFonts w:ascii="Calibri" w:hAnsi="Calibri" w:cs="Calibri"/>
              </w:rPr>
            </w:pPr>
            <w:r>
              <w:rPr>
                <w:rFonts w:ascii="Calibri" w:hAnsi="Calibri" w:cs="Calibri"/>
              </w:rPr>
              <w:t>X</w:t>
            </w: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E14A4C" w14:paraId="292FE0E0" w14:textId="1C494072">
            <w:pPr>
              <w:rPr>
                <w:rFonts w:ascii="Calibri" w:hAnsi="Calibri" w:cs="Calibri"/>
              </w:rPr>
            </w:pPr>
            <w:r>
              <w:rPr>
                <w:rFonts w:ascii="Calibri" w:hAnsi="Calibri" w:cs="Calibri"/>
              </w:rPr>
              <w:t>X</w:t>
            </w: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E14A4C" w:rsidR="00E14A4C" w:rsidP="00E14A4C" w:rsidRDefault="00E14A4C" w14:paraId="4668F0A0" w14:textId="4CBD7BF5">
            <w:pPr>
              <w:rPr>
                <w:rFonts w:ascii="Calibri" w:hAnsi="Calibri" w:cs="Calibri"/>
              </w:rPr>
            </w:pPr>
            <w:r w:rsidRPr="00E14A4C">
              <w:rPr>
                <w:rFonts w:ascii="Calibri" w:hAnsi="Calibri" w:cs="Calibri"/>
              </w:rPr>
              <w:t>Paris Agreement</w:t>
            </w:r>
          </w:p>
          <w:p w:rsidRPr="00610F28" w:rsidR="00B610C2" w:rsidP="00E14A4C" w:rsidRDefault="00E14A4C" w14:paraId="3C2756D6" w14:textId="42E413C6">
            <w:pPr>
              <w:rPr>
                <w:rFonts w:ascii="Calibri" w:hAnsi="Calibri" w:cs="Calibri"/>
              </w:rPr>
            </w:pPr>
            <w:r w:rsidRPr="00E14A4C">
              <w:rPr>
                <w:rFonts w:ascii="Calibri" w:hAnsi="Calibri" w:cs="Calibri"/>
              </w:rPr>
              <w:t>Nationally Determined Contribution (NDC)</w:t>
            </w: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3B1622" w14:paraId="7257E4AC" w14:textId="4F00A3C9">
            <w:pPr>
              <w:rPr>
                <w:rFonts w:ascii="Calibri" w:hAnsi="Calibri" w:cs="Calibri"/>
              </w:rPr>
            </w:pPr>
            <w:r>
              <w:rPr>
                <w:rFonts w:ascii="Calibri" w:hAnsi="Calibri" w:cs="Calibri"/>
              </w:rPr>
              <w:t>X</w:t>
            </w: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60175F" w14:paraId="73C261DC" w14:textId="41EBC5A4">
            <w:pPr>
              <w:rPr>
                <w:rFonts w:ascii="Calibri" w:hAnsi="Calibri" w:cs="Calibri"/>
              </w:rPr>
            </w:pPr>
            <w:r>
              <w:rPr>
                <w:rFonts w:ascii="Calibri" w:hAnsi="Calibri" w:cs="Calibri"/>
              </w:rPr>
              <w:t>X</w:t>
            </w: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60175F" w14:paraId="6442287D" w14:textId="0D0A0491">
            <w:pPr>
              <w:rPr>
                <w:rFonts w:ascii="Calibri" w:hAnsi="Calibri" w:cs="Calibri"/>
              </w:rPr>
            </w:pPr>
            <w:r>
              <w:rPr>
                <w:rFonts w:ascii="Calibri" w:hAnsi="Calibri" w:cs="Calibri"/>
              </w:rPr>
              <w:t>X</w:t>
            </w: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60175F" w14:paraId="6EAB99C2" w14:textId="545DD5F0">
            <w:pPr>
              <w:rPr>
                <w:rFonts w:ascii="Calibri" w:hAnsi="Calibri" w:cs="Calibri"/>
              </w:rPr>
            </w:pPr>
            <w:r>
              <w:rPr>
                <w:rFonts w:ascii="Calibri" w:hAnsi="Calibri" w:cs="Calibri"/>
              </w:rPr>
              <w:t>X</w:t>
            </w: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60175F" w14:paraId="6348DC8D" w14:textId="2EE538EC">
            <w:pPr>
              <w:rPr>
                <w:rFonts w:ascii="Calibri" w:hAnsi="Calibri" w:cs="Calibri"/>
              </w:rPr>
            </w:pPr>
            <w:r>
              <w:rPr>
                <w:rFonts w:ascii="Calibri" w:hAnsi="Calibri" w:cs="Calibri"/>
              </w:rPr>
              <w:t>X</w:t>
            </w: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60175F" w14:paraId="43F62023" w14:textId="2AC57C52">
            <w:pPr>
              <w:rPr>
                <w:rFonts w:ascii="Calibri" w:hAnsi="Calibri" w:cs="Calibri"/>
              </w:rPr>
            </w:pPr>
            <w:r>
              <w:rPr>
                <w:rFonts w:ascii="Calibri" w:hAnsi="Calibri" w:cs="Calibri"/>
              </w:rPr>
              <w:t>X</w:t>
            </w: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60175F" w14:paraId="5747C4CA" w14:textId="753F0D4F">
            <w:pPr>
              <w:rPr>
                <w:rFonts w:ascii="Calibri" w:hAnsi="Calibri" w:cs="Calibri"/>
              </w:rPr>
            </w:pPr>
            <w:r>
              <w:rPr>
                <w:rFonts w:ascii="Calibri" w:hAnsi="Calibri" w:cs="Calibri"/>
              </w:rPr>
              <w:t>X</w:t>
            </w: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60175F" w14:paraId="3E3F9153" w14:textId="0EEE8065">
            <w:pPr>
              <w:rPr>
                <w:rFonts w:ascii="Calibri" w:hAnsi="Calibri" w:cs="Calibri"/>
              </w:rPr>
            </w:pPr>
            <w:r>
              <w:rPr>
                <w:rFonts w:ascii="Calibri" w:hAnsi="Calibri" w:cs="Calibri"/>
              </w:rPr>
              <w:t>X</w:t>
            </w: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60175F" w14:paraId="6DD5C974" w14:textId="6EC05D5C">
            <w:pPr>
              <w:rPr>
                <w:rFonts w:ascii="Calibri" w:hAnsi="Calibri" w:cs="Calibri"/>
              </w:rPr>
            </w:pPr>
            <w:r>
              <w:rPr>
                <w:rFonts w:ascii="Calibri" w:hAnsi="Calibri" w:cs="Calibri"/>
              </w:rPr>
              <w:t>X</w:t>
            </w: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60175F" w14:paraId="45A62D9C" w14:textId="64CA74E0">
            <w:pPr>
              <w:rPr>
                <w:rFonts w:ascii="Calibri" w:hAnsi="Calibri" w:cs="Calibri"/>
              </w:rPr>
            </w:pPr>
            <w:r>
              <w:rPr>
                <w:rFonts w:ascii="Calibri" w:hAnsi="Calibri" w:cs="Calibri"/>
              </w:rPr>
              <w:t>X</w:t>
            </w: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60175F" w14:paraId="7634056E" w14:textId="45F2A94A">
            <w:pPr>
              <w:rPr>
                <w:rFonts w:ascii="Calibri" w:hAnsi="Calibri" w:cs="Calibri"/>
              </w:rPr>
            </w:pPr>
            <w:r>
              <w:rPr>
                <w:rFonts w:ascii="Calibri" w:hAnsi="Calibri" w:cs="Calibri"/>
              </w:rPr>
              <w:t>X</w:t>
            </w: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60175F" w14:paraId="09A03F64" w14:textId="4DDF063D">
            <w:pPr>
              <w:rPr>
                <w:rFonts w:ascii="Calibri" w:hAnsi="Calibri" w:cs="Calibri"/>
              </w:rPr>
            </w:pPr>
            <w:r>
              <w:rPr>
                <w:rFonts w:ascii="Calibri" w:hAnsi="Calibri" w:cs="Calibri"/>
              </w:rPr>
              <w:t>X</w:t>
            </w: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97BE25C">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6376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DB4B0D" w14:paraId="5B923CEC" w14:textId="68CF6955">
            <w:pPr>
              <w:rPr>
                <w:rFonts w:ascii="Calibri" w:hAnsi="Calibri" w:cs="Calibri"/>
              </w:rPr>
            </w:pPr>
            <w:r w:rsidRPr="00DB4B0D">
              <w:rPr>
                <w:rFonts w:ascii="Calibri" w:hAnsi="Calibri" w:cs="Calibri"/>
              </w:rPr>
              <w:t>Applies to all public entities and government agencies at national, regional, and local levels.</w:t>
            </w: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DB4B0D" w14:paraId="1EE82B00" w14:textId="7808CD53">
            <w:pPr>
              <w:rPr>
                <w:rFonts w:ascii="Calibri" w:hAnsi="Calibri" w:cs="Calibri"/>
              </w:rPr>
            </w:pPr>
            <w:r>
              <w:rPr>
                <w:rFonts w:ascii="Calibri" w:hAnsi="Calibri" w:cs="Calibri"/>
              </w:rPr>
              <w:t>X</w:t>
            </w: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DB4B0D" w14:paraId="38193F30" w14:textId="04B9D521">
            <w:pPr>
              <w:rPr>
                <w:rFonts w:ascii="Calibri" w:hAnsi="Calibri" w:cs="Calibri"/>
              </w:rPr>
            </w:pPr>
            <w:r>
              <w:rPr>
                <w:rFonts w:ascii="Calibri" w:hAnsi="Calibri" w:cs="Calibri"/>
              </w:rPr>
              <w:t>X</w:t>
            </w: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DB4B0D" w14:paraId="76CB4C19" w14:textId="39E8B586">
            <w:pPr>
              <w:rPr>
                <w:rFonts w:ascii="Calibri" w:hAnsi="Calibri" w:cs="Calibri"/>
              </w:rPr>
            </w:pPr>
            <w:r>
              <w:rPr>
                <w:rFonts w:ascii="Calibri" w:hAnsi="Calibri" w:cs="Calibri"/>
              </w:rPr>
              <w:t>X</w:t>
            </w: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DB4B0D" w14:paraId="10EF7B40" w14:textId="2F889991">
            <w:pPr>
              <w:rPr>
                <w:rFonts w:ascii="Calibri" w:hAnsi="Calibri" w:cs="Calibri"/>
              </w:rPr>
            </w:pPr>
            <w:r>
              <w:rPr>
                <w:rFonts w:ascii="Calibri" w:hAnsi="Calibri" w:cs="Calibri"/>
              </w:rPr>
              <w:t>X</w:t>
            </w: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AB7F6B" w14:paraId="3BEBA31F" w14:textId="0FE050AC">
            <w:pPr>
              <w:rPr>
                <w:rFonts w:ascii="Calibri" w:hAnsi="Calibri" w:cs="Calibri"/>
              </w:rPr>
            </w:pPr>
            <w:r>
              <w:rPr>
                <w:rFonts w:ascii="Calibri" w:hAnsi="Calibri" w:cs="Calibri"/>
              </w:rPr>
              <w:t>X</w:t>
            </w: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9925E3" w14:paraId="04345F77" w14:textId="36913258">
            <w:pPr>
              <w:rPr>
                <w:rFonts w:ascii="Calibri" w:hAnsi="Calibri" w:cs="Calibri"/>
              </w:rPr>
            </w:pPr>
            <w:r w:rsidRPr="009925E3">
              <w:rPr>
                <w:rFonts w:ascii="Calibri" w:hAnsi="Calibri" w:cs="Calibri"/>
              </w:rPr>
              <w:t>Law 2294 of 2023 requires that public procurement spending by government agencies at all levels (national, regional, local) be aligned with Colombia’s national climate targets and the objectives of the National Development Plan 2022-2026.</w:t>
            </w: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7C52B1" w14:paraId="74219540" w14:textId="0545B19D">
            <w:pPr>
              <w:rPr>
                <w:rFonts w:ascii="Calibri" w:hAnsi="Calibri" w:cs="Calibri"/>
              </w:rPr>
            </w:pPr>
            <w:r>
              <w:rPr>
                <w:rFonts w:ascii="Calibri" w:hAnsi="Calibri" w:cs="Calibri"/>
              </w:rPr>
              <w:t>X</w:t>
            </w: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7C52B1" w14:paraId="63F6EB87" w14:textId="5DBB8FC0">
            <w:pPr>
              <w:rPr>
                <w:rFonts w:ascii="Calibri" w:hAnsi="Calibri" w:cs="Calibri"/>
              </w:rPr>
            </w:pPr>
            <w:r>
              <w:rPr>
                <w:rFonts w:ascii="Calibri" w:hAnsi="Calibri" w:cs="Calibri"/>
              </w:rPr>
              <w:t>X</w:t>
            </w: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7C52B1" w14:paraId="48B88C8F" w14:textId="7F86B008">
            <w:pPr>
              <w:rPr>
                <w:rFonts w:ascii="Calibri" w:hAnsi="Calibri" w:cs="Calibri"/>
              </w:rPr>
            </w:pPr>
            <w:r>
              <w:rPr>
                <w:rFonts w:ascii="Calibri" w:hAnsi="Calibri" w:cs="Calibri"/>
              </w:rPr>
              <w:t>X</w:t>
            </w: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7A0045" w14:paraId="1A004795" w14:textId="7381B67E">
            <w:pPr>
              <w:rPr>
                <w:rFonts w:ascii="Calibri" w:hAnsi="Calibri" w:cs="Calibri"/>
              </w:rPr>
            </w:pPr>
            <w:r>
              <w:rPr>
                <w:rFonts w:ascii="Calibri" w:hAnsi="Calibri" w:cs="Calibri"/>
              </w:rPr>
              <w:t>X</w:t>
            </w: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7A0045" w14:paraId="498C27D8" w14:textId="5242E77A">
            <w:pPr>
              <w:rPr>
                <w:rFonts w:ascii="Calibri" w:hAnsi="Calibri" w:cs="Calibri"/>
              </w:rPr>
            </w:pPr>
            <w:r>
              <w:rPr>
                <w:rFonts w:ascii="Calibri" w:hAnsi="Calibri" w:cs="Calibri"/>
              </w:rPr>
              <w:t>X</w:t>
            </w: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7A0045" w14:paraId="0EFE052D" w14:textId="6BB7042A">
            <w:pPr>
              <w:rPr>
                <w:rFonts w:ascii="Calibri" w:hAnsi="Calibri" w:cs="Calibri"/>
              </w:rPr>
            </w:pPr>
            <w:r>
              <w:rPr>
                <w:rFonts w:ascii="Calibri" w:hAnsi="Calibri" w:cs="Calibri"/>
              </w:rPr>
              <w:t>X</w:t>
            </w: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C94F42" w14:paraId="09147A9D" w14:textId="5B1F3888">
            <w:pPr>
              <w:rPr>
                <w:rFonts w:ascii="Calibri" w:hAnsi="Calibri" w:cs="Calibri"/>
              </w:rPr>
            </w:pPr>
            <w:r>
              <w:rPr>
                <w:rFonts w:ascii="Calibri" w:hAnsi="Calibri" w:cs="Calibri"/>
              </w:rPr>
              <w:t>X</w:t>
            </w: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C94F42" w14:paraId="0AE4B89C" w14:textId="5FF1D257">
            <w:pPr>
              <w:rPr>
                <w:rFonts w:ascii="Calibri" w:hAnsi="Calibri" w:cs="Calibri"/>
              </w:rPr>
            </w:pPr>
            <w:r>
              <w:rPr>
                <w:rFonts w:ascii="Calibri" w:hAnsi="Calibri" w:cs="Calibri"/>
              </w:rPr>
              <w:t>X</w:t>
            </w: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C94F42" w14:paraId="4691F88B" w14:textId="57C8ACF2">
            <w:pPr>
              <w:rPr>
                <w:rFonts w:ascii="Calibri" w:hAnsi="Calibri" w:cs="Calibri"/>
              </w:rPr>
            </w:pPr>
            <w:r>
              <w:rPr>
                <w:rFonts w:ascii="Calibri" w:hAnsi="Calibri" w:cs="Calibri"/>
              </w:rPr>
              <w:t>X</w:t>
            </w: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C94F42" w14:paraId="75F000A0" w14:textId="489F9D33">
            <w:pPr>
              <w:rPr>
                <w:rFonts w:ascii="Calibri" w:hAnsi="Calibri" w:cs="Calibri"/>
              </w:rPr>
            </w:pPr>
            <w:r>
              <w:rPr>
                <w:rFonts w:ascii="Calibri" w:hAnsi="Calibri" w:cs="Calibri"/>
              </w:rPr>
              <w:t>X</w:t>
            </w: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C94F42" w14:paraId="48E78D71" w14:textId="2E5E8CD6">
            <w:pPr>
              <w:rPr>
                <w:rFonts w:ascii="Calibri" w:hAnsi="Calibri" w:cs="Calibri"/>
              </w:rPr>
            </w:pPr>
            <w:r>
              <w:rPr>
                <w:rFonts w:ascii="Calibri" w:hAnsi="Calibri" w:cs="Calibri"/>
              </w:rPr>
              <w:t>X</w:t>
            </w: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C94F42" w14:paraId="6265B4C5" w14:textId="7C4DC960">
            <w:pPr>
              <w:rPr>
                <w:rFonts w:ascii="Calibri" w:hAnsi="Calibri" w:cs="Calibri"/>
              </w:rPr>
            </w:pPr>
            <w:r>
              <w:rPr>
                <w:rFonts w:ascii="Calibri" w:hAnsi="Calibri" w:cs="Calibri"/>
              </w:rPr>
              <w:t>X</w:t>
            </w: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C94F42" w14:paraId="1A4AB782" w14:textId="4F336DB2">
            <w:pPr>
              <w:rPr>
                <w:rFonts w:ascii="Calibri" w:hAnsi="Calibri" w:cs="Calibri"/>
              </w:rPr>
            </w:pPr>
            <w:r>
              <w:rPr>
                <w:rFonts w:ascii="Calibri" w:hAnsi="Calibri" w:cs="Calibri"/>
              </w:rPr>
              <w:t>X</w:t>
            </w: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C94F42" w14:paraId="61B14904" w14:textId="03042F64">
            <w:pPr>
              <w:rPr>
                <w:rFonts w:ascii="Calibri" w:hAnsi="Calibri" w:cs="Calibri"/>
              </w:rPr>
            </w:pPr>
            <w:r>
              <w:rPr>
                <w:rFonts w:ascii="Calibri" w:hAnsi="Calibri" w:cs="Calibri"/>
              </w:rPr>
              <w:t>X</w:t>
            </w: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C94F42" w14:paraId="7F76A469" w14:textId="529ACE1E">
            <w:pPr>
              <w:rPr>
                <w:rFonts w:ascii="Calibri" w:hAnsi="Calibri" w:cs="Calibri"/>
              </w:rPr>
            </w:pPr>
            <w:r>
              <w:rPr>
                <w:rFonts w:ascii="Calibri" w:hAnsi="Calibri" w:cs="Calibri"/>
              </w:rPr>
              <w:t>X</w:t>
            </w: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3A2A36" w14:paraId="633CAA0E" w14:textId="10BF1E15">
            <w:pPr>
              <w:rPr>
                <w:rFonts w:ascii="Calibri" w:hAnsi="Calibri" w:cs="Calibri"/>
              </w:rPr>
            </w:pPr>
            <w:r>
              <w:rPr>
                <w:rFonts w:ascii="Calibri" w:hAnsi="Calibri" w:cs="Calibri"/>
              </w:rPr>
              <w:t>X</w:t>
            </w: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BF6096" w14:paraId="77F093F9" w14:textId="00B3BAF7">
            <w:pPr>
              <w:rPr>
                <w:rFonts w:ascii="Calibri" w:hAnsi="Calibri" w:cs="Calibri"/>
              </w:rPr>
            </w:pPr>
            <w:r w:rsidRPr="00BF6096">
              <w:rPr>
                <w:rFonts w:ascii="Calibri" w:hAnsi="Calibri" w:cs="Calibri"/>
              </w:rPr>
              <w:t xml:space="preserve">Specifically, Article 35 mandates that entities responsible for territorial planning and those with jurisdiction over areas of special interest (such as indigenous territories, protected areas, and regions with strategic ecosystems) must structure and provide information in a standardized format. This is to be achieved through the adoption and implementation of the </w:t>
            </w:r>
            <w:proofErr w:type="spellStart"/>
            <w:r w:rsidRPr="00BF6096">
              <w:rPr>
                <w:rFonts w:ascii="Calibri" w:hAnsi="Calibri" w:cs="Calibri"/>
              </w:rPr>
              <w:t>Modelo</w:t>
            </w:r>
            <w:proofErr w:type="spellEnd"/>
            <w:r w:rsidRPr="00BF6096">
              <w:rPr>
                <w:rFonts w:ascii="Calibri" w:hAnsi="Calibri" w:cs="Calibri"/>
              </w:rPr>
              <w:t xml:space="preserve"> de </w:t>
            </w:r>
            <w:proofErr w:type="spellStart"/>
            <w:r w:rsidRPr="00BF6096">
              <w:rPr>
                <w:rFonts w:ascii="Calibri" w:hAnsi="Calibri" w:cs="Calibri"/>
              </w:rPr>
              <w:t>datos</w:t>
            </w:r>
            <w:proofErr w:type="spellEnd"/>
            <w:r w:rsidRPr="00BF6096">
              <w:rPr>
                <w:rFonts w:ascii="Calibri" w:hAnsi="Calibri" w:cs="Calibri"/>
              </w:rPr>
              <w:t xml:space="preserve"> de </w:t>
            </w:r>
            <w:proofErr w:type="spellStart"/>
            <w:r w:rsidRPr="00BF6096">
              <w:rPr>
                <w:rFonts w:ascii="Calibri" w:hAnsi="Calibri" w:cs="Calibri"/>
              </w:rPr>
              <w:t>administración</w:t>
            </w:r>
            <w:proofErr w:type="spellEnd"/>
            <w:r w:rsidRPr="00BF6096">
              <w:rPr>
                <w:rFonts w:ascii="Calibri" w:hAnsi="Calibri" w:cs="Calibri"/>
              </w:rPr>
              <w:t xml:space="preserve"> del </w:t>
            </w:r>
            <w:proofErr w:type="spellStart"/>
            <w:r w:rsidRPr="00BF6096">
              <w:rPr>
                <w:rFonts w:ascii="Calibri" w:hAnsi="Calibri" w:cs="Calibri"/>
              </w:rPr>
              <w:t>territorio</w:t>
            </w:r>
            <w:proofErr w:type="spellEnd"/>
            <w:r w:rsidRPr="00BF6096">
              <w:rPr>
                <w:rFonts w:ascii="Calibri" w:hAnsi="Calibri" w:cs="Calibri"/>
              </w:rPr>
              <w:t xml:space="preserve"> defined by the Sistema de Administración del </w:t>
            </w:r>
            <w:proofErr w:type="spellStart"/>
            <w:r w:rsidRPr="00BF6096">
              <w:rPr>
                <w:rFonts w:ascii="Calibri" w:hAnsi="Calibri" w:cs="Calibri"/>
              </w:rPr>
              <w:t>Territorio</w:t>
            </w:r>
            <w:proofErr w:type="spellEnd"/>
            <w:r w:rsidRPr="00BF6096">
              <w:rPr>
                <w:rFonts w:ascii="Calibri" w:hAnsi="Calibri" w:cs="Calibri"/>
              </w:rPr>
              <w:t xml:space="preserve"> (SAT) within a maximum period of three years from the law’s entry into force.</w:t>
            </w: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4FFA8538">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647587" w14:paraId="1FBE3E4C" w14:textId="58D5829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05797D3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647587" w14:paraId="62B98E71" w14:textId="11FFE57A">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20C5529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647587" w14:paraId="69EE0F40" w14:textId="21132E26">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lastRenderedPageBreak/>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DD5F21" w14:paraId="25697675" w14:textId="344DCA35">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DD5F21" w14:paraId="642C4C1B" w14:textId="275335C9">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DD5F21" w14:paraId="23347C77" w14:textId="3E433464">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DD5F21" w14:paraId="5FC7FCC3" w14:textId="333DA809">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DD5F21" w14:paraId="396814B6" w14:textId="5F643497">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DD5F21" w14:paraId="4EDA2152" w14:textId="22425E19">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EB49D8" w14:paraId="3786291B" w14:textId="285225DF">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EB49D8" w14:paraId="56CF2BA9" w14:textId="6EC7D9BE">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rsidRPr="00CF2E7C" w:rsidR="008A4685" w:rsidP="00CF2E7C" w:rsidRDefault="008A4685" w14:paraId="533AC945" w14:textId="3DEAABA6">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EB49D8" w14:paraId="75B6EC8C" w14:textId="03F93115">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EB49D8" w14:paraId="2CA4A5DD" w14:textId="09DCAB34">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EB49D8" w14:paraId="58BEC418" w14:textId="71A0A2AF">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lastRenderedPageBreak/>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EB49D8" w14:paraId="58212041" w14:textId="3A8E07A4">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EB49D8" w14:paraId="559F3063" w14:textId="75C7DFFD">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EB49D8" w14:paraId="7EC671AE" w14:textId="0FE8DCB5">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EB49D8" w14:paraId="1C2B8B60" w14:textId="7367BF87">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EB49D8" w14:paraId="6625CBD2" w14:textId="6E2B8B96">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EB49D8" w14:paraId="62A2580C" w14:textId="1796E8EA">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EB49D8" w14:paraId="70FADD1E" w14:textId="13721062">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EB49D8" w14:paraId="3A9BDE1F" w14:textId="19EB3BFF">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EB49D8" w14:paraId="1EC0B2DB" w14:textId="7069688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2CF06C4B">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0B85" w14:paraId="605BDC2A" w14:textId="667B7C95">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1E773D5C">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0B85" w14:paraId="025E7BA1" w14:textId="2A6747C2">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lastRenderedPageBreak/>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5F79AA2B">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0B85" w14:paraId="769298F4" w14:textId="573898F8">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598212DB">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0B85" w14:paraId="0B52953F" w14:textId="3151447A">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6E1A303A">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0B85" w14:paraId="57CA1803" w14:textId="558ED662">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DB904A6">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0B85" w14:paraId="633564B1" w14:textId="63C34DE2">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3DF43D94">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0B85" w14:paraId="18D93358" w14:textId="568FC09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5DEB388C">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0B85" w14:paraId="00F9A09F" w14:textId="63DCA431">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23E52E46">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0B85" w14:paraId="03C6DB57" w14:textId="2293DA3F">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2A2CFDFC">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0B85" w14:paraId="7254D5C0" w14:textId="1D2872B0">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1B187C20">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0B85" w14:paraId="012AC322" w14:textId="33C48E93">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155E875B">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00B85" w14:paraId="40F24815" w14:textId="169E5F91">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6446B4" w14:paraId="2AAAEE94" w14:textId="1CF61235">
            <w:pPr>
              <w:rPr>
                <w:rStyle w:val="normaltextrun"/>
                <w:rFonts w:cstheme="minorHAnsi"/>
                <w:color w:val="000000"/>
                <w:lang w:val="en-US"/>
              </w:rPr>
            </w:pPr>
            <w:r>
              <w:rPr>
                <w:rStyle w:val="normaltextrun"/>
                <w:rFonts w:cstheme="minorHAnsi"/>
                <w:color w:val="000000"/>
                <w:lang w:val="en-US"/>
              </w:rPr>
              <w:t>X</w:t>
            </w: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lastRenderedPageBreak/>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F3038B" w14:paraId="3AFC5F6F" w14:textId="3F089FB8">
            <w:pPr>
              <w:rPr>
                <w:rStyle w:val="normaltextrun"/>
                <w:rFonts w:cstheme="minorHAnsi"/>
                <w:color w:val="000000"/>
                <w:lang w:val="en-US"/>
              </w:rPr>
            </w:pPr>
            <w:r>
              <w:rPr>
                <w:rStyle w:val="normaltextrun"/>
                <w:rFonts w:cstheme="minorHAnsi"/>
                <w:color w:val="000000"/>
                <w:lang w:val="en-US"/>
              </w:rPr>
              <w:t>X</w:t>
            </w: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Pr="00F3038B" w:rsidR="00F3038B" w:rsidP="00F3038B" w:rsidRDefault="00F3038B" w14:paraId="2A307742" w14:textId="77777777">
            <w:pPr>
              <w:rPr>
                <w:rStyle w:val="normaltextrun"/>
                <w:rFonts w:ascii="Mulish" w:hAnsi="Mulish"/>
                <w:color w:val="000000"/>
                <w:shd w:val="clear" w:color="auto" w:fill="FFFFFF"/>
                <w:lang w:val="en-US"/>
              </w:rPr>
            </w:pPr>
            <w:r w:rsidRPr="00F3038B">
              <w:rPr>
                <w:rStyle w:val="normaltextrun"/>
                <w:rFonts w:ascii="Mulish" w:hAnsi="Mulish"/>
                <w:color w:val="000000"/>
                <w:shd w:val="clear" w:color="auto" w:fill="FFFFFF"/>
                <w:lang w:val="en-US"/>
              </w:rPr>
              <w:t xml:space="preserve">Specifically, the law allows and/or recommends </w:t>
            </w:r>
            <w:proofErr w:type="gramStart"/>
            <w:r w:rsidRPr="00F3038B">
              <w:rPr>
                <w:rStyle w:val="normaltextrun"/>
                <w:rFonts w:ascii="Mulish" w:hAnsi="Mulish"/>
                <w:color w:val="000000"/>
                <w:shd w:val="clear" w:color="auto" w:fill="FFFFFF"/>
                <w:lang w:val="en-US"/>
              </w:rPr>
              <w:t>that</w:t>
            </w:r>
            <w:proofErr w:type="gramEnd"/>
            <w:r w:rsidRPr="00F3038B">
              <w:rPr>
                <w:rStyle w:val="normaltextrun"/>
                <w:rFonts w:ascii="Mulish" w:hAnsi="Mulish"/>
                <w:color w:val="000000"/>
                <w:shd w:val="clear" w:color="auto" w:fill="FFFFFF"/>
                <w:lang w:val="en-US"/>
              </w:rPr>
              <w:t xml:space="preserve"> entities:</w:t>
            </w:r>
          </w:p>
          <w:p w:rsidRPr="00F3038B" w:rsidR="00F3038B" w:rsidP="00F3038B" w:rsidRDefault="00F3038B" w14:paraId="001821A0" w14:textId="77777777">
            <w:pPr>
              <w:rPr>
                <w:rStyle w:val="normaltextrun"/>
                <w:rFonts w:ascii="Mulish" w:hAnsi="Mulish"/>
                <w:color w:val="000000"/>
                <w:shd w:val="clear" w:color="auto" w:fill="FFFFFF"/>
                <w:lang w:val="en-US"/>
              </w:rPr>
            </w:pPr>
            <w:r w:rsidRPr="00F3038B">
              <w:rPr>
                <w:rStyle w:val="normaltextrun"/>
                <w:rFonts w:ascii="Mulish" w:hAnsi="Mulish"/>
                <w:color w:val="000000"/>
                <w:shd w:val="clear" w:color="auto" w:fill="FFFFFF"/>
                <w:lang w:val="en-US"/>
              </w:rPr>
              <w:t>• Establish mechanisms to monitor the inclusion of climate-related requirements in procurement activities.</w:t>
            </w:r>
          </w:p>
          <w:p w:rsidRPr="00F3038B" w:rsidR="00F3038B" w:rsidP="00F3038B" w:rsidRDefault="00F3038B" w14:paraId="68FB4411" w14:textId="77777777">
            <w:pPr>
              <w:rPr>
                <w:rStyle w:val="normaltextrun"/>
                <w:rFonts w:ascii="Mulish" w:hAnsi="Mulish"/>
                <w:color w:val="000000"/>
                <w:shd w:val="clear" w:color="auto" w:fill="FFFFFF"/>
                <w:lang w:val="en-US"/>
              </w:rPr>
            </w:pPr>
            <w:r w:rsidRPr="00F3038B">
              <w:rPr>
                <w:rStyle w:val="normaltextrun"/>
                <w:rFonts w:ascii="Mulish" w:hAnsi="Mulish"/>
                <w:color w:val="000000"/>
                <w:shd w:val="clear" w:color="auto" w:fill="FFFFFF"/>
                <w:lang w:val="en-US"/>
              </w:rPr>
              <w:t>• Report on the outcomes and progress of climate-aligned procurement, which may include the number or value of contracts awarded with climate criteria, the types of environmental standards applied, and the results achieved in terms of emissions reductions or other sustainability metrics.</w:t>
            </w:r>
          </w:p>
          <w:p w:rsidR="009A5C4E" w:rsidP="00F3038B" w:rsidRDefault="00F3038B" w14:paraId="350926DD" w14:textId="68E31C76">
            <w:pPr>
              <w:rPr>
                <w:rStyle w:val="normaltextrun"/>
                <w:rFonts w:ascii="Mulish" w:hAnsi="Mulish"/>
                <w:color w:val="000000"/>
                <w:sz w:val="22"/>
                <w:szCs w:val="22"/>
                <w:shd w:val="clear" w:color="auto" w:fill="FFFFFF"/>
                <w:lang w:val="en-US"/>
              </w:rPr>
            </w:pPr>
            <w:r w:rsidRPr="00F3038B">
              <w:rPr>
                <w:rStyle w:val="normaltextrun"/>
                <w:rFonts w:ascii="Mulish" w:hAnsi="Mulish"/>
                <w:color w:val="000000"/>
                <w:shd w:val="clear" w:color="auto" w:fill="FFFFFF"/>
                <w:lang w:val="en-US"/>
              </w:rPr>
              <w:t>• Utilize a central publication point or platform for the disclosure of monitoring and reporting data, ensuring that information is accessible to stakeholders and the public, thereby supporting transparency and enabling oversight.</w:t>
            </w: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5F79B3" w14:paraId="1149A19C" w14:textId="091223E0">
            <w:pPr>
              <w:rPr>
                <w:rFonts w:ascii="Calibri" w:hAnsi="Calibri" w:cs="Calibri"/>
              </w:rPr>
            </w:pPr>
            <w:r>
              <w:rPr>
                <w:rFonts w:ascii="Calibri" w:hAnsi="Calibri" w:cs="Calibri"/>
              </w:rPr>
              <w:t>X</w:t>
            </w: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5F79B3" w14:paraId="53A1F12D" w14:textId="17F6F75C">
            <w:pPr>
              <w:rPr>
                <w:rFonts w:ascii="Calibri" w:hAnsi="Calibri" w:cs="Calibri"/>
              </w:rPr>
            </w:pPr>
            <w:r>
              <w:rPr>
                <w:rFonts w:ascii="Calibri" w:hAnsi="Calibri" w:cs="Calibri"/>
              </w:rPr>
              <w:t>X</w:t>
            </w: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EC0D74" w14:paraId="50760B95" w14:textId="34BD091A">
            <w:pPr>
              <w:rPr>
                <w:rFonts w:ascii="Calibri" w:hAnsi="Calibri" w:cs="Calibri"/>
              </w:rPr>
            </w:pPr>
            <w:r>
              <w:rPr>
                <w:rFonts w:ascii="Calibri" w:hAnsi="Calibri" w:cs="Calibri"/>
              </w:rPr>
              <w:t>X</w:t>
            </w: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lastRenderedPageBreak/>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EC0D74" w14:paraId="04264505" w14:textId="2FBA8A15">
            <w:pPr>
              <w:rPr>
                <w:rFonts w:ascii="Calibri" w:hAnsi="Calibri" w:cs="Calibri"/>
              </w:rPr>
            </w:pPr>
            <w:r>
              <w:rPr>
                <w:rFonts w:ascii="Calibri" w:hAnsi="Calibri" w:cs="Calibri"/>
              </w:rPr>
              <w:t>X</w:t>
            </w: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EC0D74" w14:paraId="779CDB4B" w14:textId="2C3CD4D0">
            <w:pPr>
              <w:rPr>
                <w:rFonts w:ascii="Calibri" w:hAnsi="Calibri" w:cs="Calibri"/>
              </w:rPr>
            </w:pPr>
            <w:r>
              <w:rPr>
                <w:rFonts w:ascii="Calibri" w:hAnsi="Calibri" w:cs="Calibri"/>
              </w:rPr>
              <w:t>X</w:t>
            </w: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EC0D74" w14:paraId="7E149AB5" w14:textId="53A30318">
            <w:pPr>
              <w:rPr>
                <w:rFonts w:ascii="Calibri" w:hAnsi="Calibri" w:cs="Calibri"/>
              </w:rPr>
            </w:pPr>
            <w:r>
              <w:rPr>
                <w:rFonts w:ascii="Calibri" w:hAnsi="Calibri" w:cs="Calibri"/>
              </w:rPr>
              <w:t>X</w:t>
            </w: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5F79B3" w14:paraId="5102F18D" w14:textId="17E84F12">
            <w:pPr>
              <w:rPr>
                <w:rFonts w:ascii="Calibri" w:hAnsi="Calibri" w:cs="Calibri"/>
              </w:rPr>
            </w:pPr>
            <w:r>
              <w:rPr>
                <w:rFonts w:ascii="Calibri" w:hAnsi="Calibri" w:cs="Calibri"/>
              </w:rPr>
              <w:t>X</w:t>
            </w: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5F79B3" w14:paraId="10F096CA" w14:textId="51728908">
            <w:pPr>
              <w:rPr>
                <w:rFonts w:ascii="Calibri" w:hAnsi="Calibri" w:cs="Calibri"/>
              </w:rPr>
            </w:pPr>
            <w:r>
              <w:rPr>
                <w:rFonts w:ascii="Calibri" w:hAnsi="Calibri" w:cs="Calibri"/>
              </w:rPr>
              <w:t>X</w:t>
            </w: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5F79B3" w14:paraId="4A22CD91" w14:textId="6DEDA8D3">
            <w:pPr>
              <w:rPr>
                <w:rFonts w:ascii="Calibri" w:hAnsi="Calibri" w:cs="Calibri"/>
              </w:rPr>
            </w:pPr>
            <w:r>
              <w:rPr>
                <w:rFonts w:ascii="Calibri" w:hAnsi="Calibri" w:cs="Calibri"/>
              </w:rPr>
              <w:t>X</w:t>
            </w: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5F79B3" w14:paraId="5E5AEB61" w14:textId="24DA8359">
            <w:pPr>
              <w:rPr>
                <w:rFonts w:ascii="Calibri" w:hAnsi="Calibri" w:cs="Calibri"/>
              </w:rPr>
            </w:pPr>
            <w:r>
              <w:rPr>
                <w:rFonts w:ascii="Calibri" w:hAnsi="Calibri" w:cs="Calibri"/>
              </w:rPr>
              <w:t>X</w:t>
            </w: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5F79B3" w14:paraId="20F9A1F3" w14:textId="4FD56B99">
            <w:pPr>
              <w:rPr>
                <w:rFonts w:ascii="Calibri" w:hAnsi="Calibri" w:cs="Calibri"/>
              </w:rPr>
            </w:pPr>
            <w:r>
              <w:rPr>
                <w:rFonts w:ascii="Calibri" w:hAnsi="Calibri" w:cs="Calibri"/>
              </w:rPr>
              <w:t>X</w:t>
            </w: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5F79B3" w14:paraId="16AFBE54" w14:textId="65EBDF18">
            <w:pPr>
              <w:rPr>
                <w:rFonts w:ascii="Calibri" w:hAnsi="Calibri" w:cs="Calibri"/>
              </w:rPr>
            </w:pPr>
            <w:r>
              <w:rPr>
                <w:rFonts w:ascii="Calibri" w:hAnsi="Calibri" w:cs="Calibri"/>
              </w:rPr>
              <w:t>X</w:t>
            </w: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5F79B3" w14:paraId="398EE774" w14:textId="787C33A0">
            <w:pPr>
              <w:rPr>
                <w:rFonts w:ascii="Calibri" w:hAnsi="Calibri" w:cs="Calibri"/>
              </w:rPr>
            </w:pPr>
            <w:r>
              <w:rPr>
                <w:rFonts w:ascii="Calibri" w:hAnsi="Calibri" w:cs="Calibri"/>
              </w:rPr>
              <w:t>X</w:t>
            </w: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5F79B3" w14:paraId="0B2E3AB8" w14:textId="7BF0F4CA">
            <w:pPr>
              <w:rPr>
                <w:rFonts w:ascii="Calibri" w:hAnsi="Calibri" w:cs="Calibri"/>
              </w:rPr>
            </w:pPr>
            <w:r>
              <w:rPr>
                <w:rFonts w:ascii="Calibri" w:hAnsi="Calibri" w:cs="Calibri"/>
              </w:rPr>
              <w:t>X</w:t>
            </w: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5F79B3" w14:paraId="7D6EC701" w14:textId="559BFAB0">
            <w:pPr>
              <w:rPr>
                <w:rFonts w:ascii="Calibri" w:hAnsi="Calibri" w:cs="Calibri"/>
              </w:rPr>
            </w:pPr>
            <w:r>
              <w:rPr>
                <w:rFonts w:ascii="Calibri" w:hAnsi="Calibri" w:cs="Calibri"/>
              </w:rPr>
              <w:t>X</w:t>
            </w: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5F79B3" w14:paraId="3E0B2FF5" w14:textId="36682D3B">
            <w:pPr>
              <w:rPr>
                <w:rFonts w:ascii="Calibri" w:hAnsi="Calibri" w:cs="Calibri"/>
              </w:rPr>
            </w:pPr>
            <w:r>
              <w:rPr>
                <w:rFonts w:ascii="Calibri" w:hAnsi="Calibri" w:cs="Calibri"/>
              </w:rPr>
              <w:t>X</w:t>
            </w: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5F79B3" w14:paraId="564E4178" w14:textId="230FF64A">
            <w:pPr>
              <w:rPr>
                <w:rFonts w:ascii="Calibri" w:hAnsi="Calibri" w:cs="Calibri"/>
              </w:rPr>
            </w:pPr>
            <w:r>
              <w:rPr>
                <w:rFonts w:ascii="Calibri" w:hAnsi="Calibri" w:cs="Calibri"/>
              </w:rPr>
              <w:t>X</w:t>
            </w: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5F79B3" w14:paraId="3BFB947F" w14:textId="373C6588">
            <w:pPr>
              <w:rPr>
                <w:rFonts w:ascii="Calibri" w:hAnsi="Calibri" w:cs="Calibri"/>
              </w:rPr>
            </w:pPr>
            <w:r>
              <w:rPr>
                <w:rFonts w:ascii="Calibri" w:hAnsi="Calibri" w:cs="Calibri"/>
              </w:rPr>
              <w:t>X</w:t>
            </w: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5F79B3" w14:paraId="5558D9A9" w14:textId="6C4F3F4D">
            <w:pPr>
              <w:rPr>
                <w:rFonts w:ascii="Calibri" w:hAnsi="Calibri" w:cs="Calibri"/>
              </w:rPr>
            </w:pPr>
            <w:r>
              <w:rPr>
                <w:rFonts w:ascii="Calibri" w:hAnsi="Calibri" w:cs="Calibri"/>
              </w:rPr>
              <w:t>X</w:t>
            </w: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5F79B3" w14:paraId="0EC186DB" w14:textId="6C71F154">
            <w:pPr>
              <w:rPr>
                <w:rFonts w:ascii="Calibri" w:hAnsi="Calibri" w:cs="Calibri"/>
              </w:rPr>
            </w:pPr>
            <w:r>
              <w:rPr>
                <w:rFonts w:ascii="Calibri" w:hAnsi="Calibri" w:cs="Calibri"/>
              </w:rPr>
              <w:t>X</w:t>
            </w: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lastRenderedPageBreak/>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5F79B3" w14:paraId="096D66B5" w14:textId="5ADD0767">
            <w:pPr>
              <w:rPr>
                <w:rFonts w:ascii="Calibri" w:hAnsi="Calibri" w:cs="Calibri"/>
              </w:rPr>
            </w:pPr>
            <w:r>
              <w:rPr>
                <w:rFonts w:ascii="Calibri" w:hAnsi="Calibri" w:cs="Calibri"/>
              </w:rPr>
              <w:t>X</w:t>
            </w: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5F79B3" w14:paraId="3BE47035" w14:textId="498DAAC4">
            <w:pPr>
              <w:rPr>
                <w:rFonts w:ascii="Calibri" w:hAnsi="Calibri" w:cs="Calibri"/>
              </w:rPr>
            </w:pPr>
            <w:r>
              <w:rPr>
                <w:rFonts w:ascii="Calibri" w:hAnsi="Calibri" w:cs="Calibri"/>
              </w:rPr>
              <w:t>X</w:t>
            </w: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6376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6376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C6376A"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A63DA4" w:rsidP="00874E39" w:rsidRDefault="00A63DA4" w14:paraId="42709AFE" w14:textId="77777777">
      <w:r>
        <w:separator/>
      </w:r>
    </w:p>
  </w:endnote>
  <w:endnote w:type="continuationSeparator" w:id="0">
    <w:p w:rsidR="00A63DA4" w:rsidP="00874E39" w:rsidRDefault="00A63DA4" w14:paraId="3AB25560" w14:textId="77777777">
      <w:r>
        <w:continuationSeparator/>
      </w:r>
    </w:p>
  </w:endnote>
  <w:endnote w:type="continuationNotice" w:id="1">
    <w:p w:rsidR="00A63DA4" w:rsidRDefault="00A63DA4" w14:paraId="28088F2C"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A63DA4" w:rsidP="00874E39" w:rsidRDefault="00A63DA4" w14:paraId="72C2A11D" w14:textId="77777777">
      <w:r>
        <w:separator/>
      </w:r>
    </w:p>
  </w:footnote>
  <w:footnote w:type="continuationSeparator" w:id="0">
    <w:p w:rsidR="00A63DA4" w:rsidP="00874E39" w:rsidRDefault="00A63DA4" w14:paraId="6F52F879" w14:textId="77777777">
      <w:r>
        <w:continuationSeparator/>
      </w:r>
    </w:p>
  </w:footnote>
  <w:footnote w:type="continuationNotice" w:id="1">
    <w:p w:rsidR="00A63DA4" w:rsidRDefault="00A63DA4" w14:paraId="4260CE76"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26D32"/>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509"/>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A36"/>
    <w:rsid w:val="003A2E5E"/>
    <w:rsid w:val="003A4A9F"/>
    <w:rsid w:val="003A52E3"/>
    <w:rsid w:val="003A5B03"/>
    <w:rsid w:val="003B0628"/>
    <w:rsid w:val="003B1622"/>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1AE4"/>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F1F"/>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37D3"/>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9B3"/>
    <w:rsid w:val="005F7A89"/>
    <w:rsid w:val="005F7AC4"/>
    <w:rsid w:val="00601397"/>
    <w:rsid w:val="0060175F"/>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2B6"/>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6B4"/>
    <w:rsid w:val="006450DB"/>
    <w:rsid w:val="0064585A"/>
    <w:rsid w:val="00646CCB"/>
    <w:rsid w:val="00647587"/>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358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0045"/>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52B1"/>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0B85"/>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72E"/>
    <w:rsid w:val="0082674B"/>
    <w:rsid w:val="008273C0"/>
    <w:rsid w:val="00827859"/>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06D"/>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5E3"/>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1F8F"/>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3DA4"/>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7F6B"/>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72E6"/>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108"/>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44E"/>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096"/>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97A"/>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4F42"/>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B0D"/>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F21"/>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A4C"/>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A9E"/>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49D8"/>
    <w:rsid w:val="00EB55BA"/>
    <w:rsid w:val="00EB7AF0"/>
    <w:rsid w:val="00EB7E82"/>
    <w:rsid w:val="00EB7FED"/>
    <w:rsid w:val="00EC0583"/>
    <w:rsid w:val="00EC0612"/>
    <w:rsid w:val="00EC079D"/>
    <w:rsid w:val="00EC0AB2"/>
    <w:rsid w:val="00EC0D74"/>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38B"/>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E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funcionpublica.gov.co/eva/gestornormativo/norma_pdf.php?i=209510" TargetMode="External"/><Relationship Id="rId25" Type="http://schemas.openxmlformats.org/officeDocument/2006/relationships/customXml" Target="../customXml/item3.xml"/><Relationship Id="rId16" Type="http://schemas.openxmlformats.org/officeDocument/2006/relationships/footer" Target="footer3.xml"/><Relationship Id="rId20" Type="http://schemas.openxmlformats.org/officeDocument/2006/relationships/header" Target="header2.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customXml" Target="../customXml/item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customXml" Target="../customXml/item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9C5CC61-3A9E-49A7-8E8F-7541147CCD64}"/>
</file>

<file path=customXml/itemProps2.xml><?xml version="1.0" encoding="utf-8"?>
<ds:datastoreItem xmlns:ds="http://schemas.openxmlformats.org/officeDocument/2006/customXml" ds:itemID="{DCF7C607-4DDD-4F1B-8D28-5F6AC13D6D10}"/>
</file>

<file path=customXml/itemProps3.xml><?xml version="1.0" encoding="utf-8"?>
<ds:datastoreItem xmlns:ds="http://schemas.openxmlformats.org/officeDocument/2006/customXml" ds:itemID="{CD6B7971-5B98-4D01-8155-9DBB59B46789}"/>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